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36E13" w14:textId="6812A4CB" w:rsidR="002241C6" w:rsidRPr="002241C6" w:rsidRDefault="002241C6" w:rsidP="002241C6">
      <w:pPr>
        <w:spacing w:after="0" w:line="240" w:lineRule="auto"/>
        <w:jc w:val="center"/>
        <w:rPr>
          <w:rFonts w:ascii="Tahoma" w:eastAsia="Times New Roman" w:hAnsi="Tahoma" w:cs="Tahoma"/>
        </w:rPr>
      </w:pPr>
      <w:r w:rsidRPr="002241C6">
        <w:rPr>
          <w:rFonts w:ascii="Tahoma" w:eastAsia="Times New Roman" w:hAnsi="Tahoma" w:cs="Tahoma"/>
        </w:rPr>
        <w:t>Master Agreement number 22PSX0021</w:t>
      </w:r>
    </w:p>
    <w:p w14:paraId="2E48E9FF" w14:textId="30286BEC" w:rsidR="002241C6" w:rsidRPr="002241C6" w:rsidRDefault="002241C6" w:rsidP="002241C6">
      <w:pPr>
        <w:spacing w:after="0" w:line="240" w:lineRule="auto"/>
        <w:jc w:val="center"/>
        <w:rPr>
          <w:rFonts w:ascii="Tahoma" w:eastAsia="Times New Roman" w:hAnsi="Tahoma" w:cs="Tahoma"/>
        </w:rPr>
      </w:pPr>
      <w:r w:rsidRPr="002241C6">
        <w:rPr>
          <w:rFonts w:ascii="Tahoma" w:eastAsia="Times New Roman" w:hAnsi="Tahoma" w:cs="Tahoma"/>
        </w:rPr>
        <w:t>Electronic Monitoring Products and Services</w:t>
      </w:r>
    </w:p>
    <w:p w14:paraId="19C10366" w14:textId="3CF105B4" w:rsidR="002241C6" w:rsidRPr="002241C6" w:rsidRDefault="002241C6" w:rsidP="002241C6">
      <w:pPr>
        <w:spacing w:after="0" w:line="240" w:lineRule="auto"/>
        <w:jc w:val="center"/>
        <w:rPr>
          <w:rFonts w:ascii="Tahoma" w:eastAsia="Times New Roman" w:hAnsi="Tahoma" w:cs="Tahoma"/>
        </w:rPr>
      </w:pPr>
      <w:r w:rsidRPr="002241C6">
        <w:rPr>
          <w:rFonts w:ascii="Tahoma" w:eastAsia="Times New Roman" w:hAnsi="Tahoma" w:cs="Tahoma"/>
        </w:rPr>
        <w:t>State of Connecticut</w:t>
      </w:r>
    </w:p>
    <w:p w14:paraId="7610F71B" w14:textId="03E4BC3A" w:rsidR="002241C6" w:rsidRPr="002241C6" w:rsidRDefault="002241C6" w:rsidP="002241C6">
      <w:pPr>
        <w:spacing w:after="0" w:line="240" w:lineRule="auto"/>
        <w:jc w:val="center"/>
        <w:rPr>
          <w:rFonts w:ascii="Tahoma" w:eastAsia="Times New Roman" w:hAnsi="Tahoma" w:cs="Tahoma"/>
        </w:rPr>
      </w:pPr>
    </w:p>
    <w:p w14:paraId="7915A275" w14:textId="05748C42" w:rsidR="002241C6" w:rsidRPr="002241C6" w:rsidRDefault="002241C6" w:rsidP="002241C6">
      <w:pPr>
        <w:spacing w:after="0" w:line="240" w:lineRule="auto"/>
        <w:jc w:val="center"/>
        <w:rPr>
          <w:rFonts w:ascii="Tahoma" w:eastAsia="Times New Roman" w:hAnsi="Tahoma" w:cs="Tahoma"/>
        </w:rPr>
      </w:pPr>
      <w:r w:rsidRPr="002241C6">
        <w:rPr>
          <w:rFonts w:ascii="Tahoma" w:eastAsia="Times New Roman" w:hAnsi="Tahoma" w:cs="Tahoma"/>
        </w:rPr>
        <w:t>Requested Edits to the Master Agreement</w:t>
      </w:r>
    </w:p>
    <w:p w14:paraId="0D7B1FE4" w14:textId="77777777" w:rsidR="002241C6" w:rsidRPr="002241C6" w:rsidRDefault="002241C6" w:rsidP="002241C6">
      <w:pPr>
        <w:spacing w:after="0" w:line="240" w:lineRule="auto"/>
        <w:jc w:val="center"/>
        <w:rPr>
          <w:rFonts w:ascii="Tahoma" w:eastAsia="Times New Roman" w:hAnsi="Tahoma" w:cs="Tahoma"/>
          <w:u w:val="single"/>
        </w:rPr>
      </w:pPr>
    </w:p>
    <w:p w14:paraId="284F87E5" w14:textId="4AD2A119"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u w:val="single"/>
        </w:rPr>
        <w:t>1. Page 4, p. Force Majeure Event:</w:t>
      </w:r>
      <w:r w:rsidRPr="002241C6">
        <w:rPr>
          <w:rFonts w:ascii="Tahoma" w:eastAsia="Times New Roman" w:hAnsi="Tahoma" w:cs="Tahoma"/>
        </w:rPr>
        <w:t> Strikes, lockouts, riot, sabotage, rebellion, insurrection, acts of war, acts of terrorism, failure of or inadequate permanent power, fire, flood, earthquake, epidemics, natural disasters, and acts of God.</w:t>
      </w:r>
    </w:p>
    <w:p w14:paraId="0E1D282C" w14:textId="2EEAD701"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b/>
          <w:bCs/>
        </w:rPr>
        <w:t>Exception:</w:t>
      </w:r>
      <w:r w:rsidRPr="002241C6">
        <w:rPr>
          <w:rFonts w:ascii="Tahoma" w:eastAsia="Times New Roman" w:hAnsi="Tahoma" w:cs="Tahoma"/>
        </w:rPr>
        <w:t>  Will the State please add supply chain disruptions to the list of force majeure events?</w:t>
      </w:r>
    </w:p>
    <w:p w14:paraId="0F9ADA82" w14:textId="77777777" w:rsidR="002241C6" w:rsidRPr="002241C6" w:rsidRDefault="002241C6" w:rsidP="002241C6">
      <w:pPr>
        <w:spacing w:after="0" w:line="240" w:lineRule="auto"/>
        <w:rPr>
          <w:rFonts w:ascii="Tahoma" w:eastAsia="Times New Roman" w:hAnsi="Tahoma" w:cs="Tahoma"/>
        </w:rPr>
      </w:pPr>
    </w:p>
    <w:p w14:paraId="42BD5B62" w14:textId="77777777"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u w:val="single"/>
        </w:rPr>
        <w:t>2. Page 9, 3. Deliverables:</w:t>
      </w:r>
      <w:r w:rsidRPr="002241C6">
        <w:rPr>
          <w:rFonts w:ascii="Tahoma" w:eastAsia="Times New Roman" w:hAnsi="Tahoma" w:cs="Tahoma"/>
        </w:rPr>
        <w:t>  </w:t>
      </w:r>
      <w:r w:rsidRPr="002241C6">
        <w:rPr>
          <w:rFonts w:ascii="Arial" w:eastAsia="Times New Roman" w:hAnsi="Arial" w:cs="Arial"/>
        </w:rPr>
        <w:t>Contractor shall sell, transfer, convey and license, as appropriate, to the Purchasing Entity each Deliverable and Perform in accordance with this Master Agreement, applicable Participating Addendum, and the SOW, as applicable.</w:t>
      </w:r>
    </w:p>
    <w:p w14:paraId="7567943E" w14:textId="15C834DC"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b/>
          <w:bCs/>
        </w:rPr>
        <w:t>Exception:</w:t>
      </w:r>
      <w:r w:rsidRPr="002241C6">
        <w:rPr>
          <w:rFonts w:ascii="Tahoma" w:eastAsia="Times New Roman" w:hAnsi="Tahoma" w:cs="Tahoma"/>
        </w:rPr>
        <w:t> </w:t>
      </w:r>
      <w:r w:rsidRPr="002241C6">
        <w:rPr>
          <w:rFonts w:ascii="Arial" w:eastAsia="Times New Roman" w:hAnsi="Arial" w:cs="Arial"/>
        </w:rPr>
        <w:t xml:space="preserve">Will the State please add "lease" to the list of deliverables? "Contractor shall sell, transfer, lease, convey, and/or license, as </w:t>
      </w:r>
      <w:proofErr w:type="gramStart"/>
      <w:r w:rsidRPr="002241C6">
        <w:rPr>
          <w:rFonts w:ascii="Arial" w:eastAsia="Times New Roman" w:hAnsi="Arial" w:cs="Arial"/>
        </w:rPr>
        <w:t>appropriate</w:t>
      </w:r>
      <w:r>
        <w:rPr>
          <w:rFonts w:ascii="Arial" w:eastAsia="Times New Roman" w:hAnsi="Arial" w:cs="Arial"/>
        </w:rPr>
        <w:t>,</w:t>
      </w:r>
      <w:r w:rsidRPr="002241C6">
        <w:rPr>
          <w:rFonts w:ascii="Arial" w:eastAsia="Times New Roman" w:hAnsi="Arial" w:cs="Arial"/>
        </w:rPr>
        <w:t>...</w:t>
      </w:r>
      <w:proofErr w:type="gramEnd"/>
      <w:r w:rsidRPr="002241C6">
        <w:rPr>
          <w:rFonts w:ascii="Arial" w:eastAsia="Times New Roman" w:hAnsi="Arial" w:cs="Arial"/>
        </w:rPr>
        <w:t>"</w:t>
      </w:r>
    </w:p>
    <w:p w14:paraId="21AEFFF8" w14:textId="77777777" w:rsidR="002241C6" w:rsidRPr="002241C6" w:rsidRDefault="002241C6" w:rsidP="002241C6">
      <w:pPr>
        <w:spacing w:after="0" w:line="240" w:lineRule="auto"/>
        <w:rPr>
          <w:rFonts w:ascii="Tahoma" w:eastAsia="Times New Roman" w:hAnsi="Tahoma" w:cs="Tahoma"/>
        </w:rPr>
      </w:pPr>
    </w:p>
    <w:p w14:paraId="519E80DE" w14:textId="77777777"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u w:val="single"/>
        </w:rPr>
        <w:t>3. Page 13, 9.d.:</w:t>
      </w:r>
      <w:r w:rsidRPr="002241C6">
        <w:rPr>
          <w:rFonts w:ascii="Tahoma" w:eastAsia="Times New Roman" w:hAnsi="Tahoma" w:cs="Tahoma"/>
        </w:rPr>
        <w:t> A Purchasing Entity shall own all Deliverables provided to it by Contractor under this Master Agreement, subject to subparagraph e) below, and shall have the right to alter, modify, create derivative works, copy and distribute any Deliverable acquired under this Master Agreement including any and all configuration, programming, inventions or improvements to computer programs or base software or both, specifically developed by the Contractor and paid for by the Purchasing Entity pursuant to this Master Agreement.</w:t>
      </w:r>
    </w:p>
    <w:p w14:paraId="48C2B232" w14:textId="7964D42B"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b/>
          <w:bCs/>
        </w:rPr>
        <w:t>Exception: </w:t>
      </w:r>
      <w:r w:rsidRPr="002241C6">
        <w:rPr>
          <w:rFonts w:ascii="Arial" w:eastAsia="Times New Roman" w:hAnsi="Arial" w:cs="Arial"/>
        </w:rPr>
        <w:t xml:space="preserve">Will the State please add: "The parties agree that any previously or independently developed or owned intellectual property is and shall remain the property of the respective party that previously or independently developed or owned said intellectual property." </w:t>
      </w:r>
    </w:p>
    <w:p w14:paraId="2A0EFDDE" w14:textId="3E039295"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u w:val="single"/>
        </w:rPr>
        <w:br/>
        <w:t>4. Page 32, 47. Indemnification:</w:t>
      </w:r>
      <w:r w:rsidRPr="002241C6">
        <w:rPr>
          <w:rFonts w:ascii="Tahoma" w:eastAsia="Times New Roman" w:hAnsi="Tahoma" w:cs="Tahoma"/>
        </w:rPr>
        <w:t> </w:t>
      </w:r>
      <w:r w:rsidRPr="002241C6">
        <w:rPr>
          <w:rFonts w:ascii="Arial" w:eastAsia="Times New Roman" w:hAnsi="Arial" w:cs="Arial"/>
        </w:rPr>
        <w:t>Contractor shall indemnify, defend and hold harmless the Lead State, Participating Entities, Purchasing Entities, NASPO, and its officers, representatives, agents, servants, employees,</w:t>
      </w:r>
      <w:r w:rsidRPr="002241C6">
        <w:rPr>
          <w:rFonts w:ascii="Tahoma" w:eastAsia="Times New Roman" w:hAnsi="Tahoma" w:cs="Tahoma"/>
        </w:rPr>
        <w:t> </w:t>
      </w:r>
      <w:r w:rsidRPr="002241C6">
        <w:rPr>
          <w:rFonts w:ascii="Arial" w:eastAsia="Times New Roman" w:hAnsi="Arial" w:cs="Arial"/>
        </w:rPr>
        <w:t xml:space="preserve">successors and assigns (each an “Indemnified Party”) from and against any and all (1) </w:t>
      </w:r>
      <w:r w:rsidRPr="002241C6">
        <w:rPr>
          <w:rFonts w:ascii="Tahoma" w:eastAsia="Times New Roman" w:hAnsi="Tahoma" w:cs="Tahoma"/>
        </w:rPr>
        <w:t>Claims arising, directly or indirectly, in connection with this Master Agreement for the acts of commission or omission (collectively, the "Acts") of the Contractor or Contractor Parties; and (2) liabilities, damages, losses, costs and expenses, including but not limited to, attorneys' and other professionals' fees, arising, directly or indirectly, in connection with Claims, Acts or this Master Agreement.</w:t>
      </w:r>
    </w:p>
    <w:p w14:paraId="1C2E00BF" w14:textId="3F131AF3" w:rsidR="002241C6" w:rsidRPr="002241C6" w:rsidRDefault="002241C6" w:rsidP="002241C6">
      <w:pPr>
        <w:spacing w:after="0" w:line="240" w:lineRule="auto"/>
        <w:rPr>
          <w:rFonts w:ascii="Tahoma" w:eastAsia="Times New Roman" w:hAnsi="Tahoma" w:cs="Tahoma"/>
        </w:rPr>
      </w:pPr>
      <w:r w:rsidRPr="002241C6">
        <w:rPr>
          <w:rFonts w:ascii="Tahoma" w:eastAsia="Times New Roman" w:hAnsi="Tahoma" w:cs="Tahoma"/>
          <w:b/>
          <w:bCs/>
        </w:rPr>
        <w:t>Exception:</w:t>
      </w:r>
      <w:r w:rsidRPr="002241C6">
        <w:rPr>
          <w:rFonts w:ascii="Tahoma" w:eastAsia="Times New Roman" w:hAnsi="Tahoma" w:cs="Tahoma"/>
        </w:rPr>
        <w:t>  Will the State please limit to third party claims? This is normal practice in the electronic monitoring industry.</w:t>
      </w:r>
    </w:p>
    <w:p w14:paraId="3D04F57E" w14:textId="77777777" w:rsidR="009F42A8" w:rsidRPr="002241C6" w:rsidRDefault="009F42A8"/>
    <w:sectPr w:rsidR="009F42A8" w:rsidRPr="00224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1C6"/>
    <w:rsid w:val="002241C6"/>
    <w:rsid w:val="009F42A8"/>
    <w:rsid w:val="00F86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66CC9"/>
  <w15:chartTrackingRefBased/>
  <w15:docId w15:val="{DFEDD476-0790-42A6-8AF3-F0EED6A68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maildefault">
    <w:name w:val="gmail_default"/>
    <w:basedOn w:val="DefaultParagraphFont"/>
    <w:rsid w:val="00224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992152">
      <w:bodyDiv w:val="1"/>
      <w:marLeft w:val="0"/>
      <w:marRight w:val="0"/>
      <w:marTop w:val="0"/>
      <w:marBottom w:val="0"/>
      <w:divBdr>
        <w:top w:val="none" w:sz="0" w:space="0" w:color="auto"/>
        <w:left w:val="none" w:sz="0" w:space="0" w:color="auto"/>
        <w:bottom w:val="none" w:sz="0" w:space="0" w:color="auto"/>
        <w:right w:val="none" w:sz="0" w:space="0" w:color="auto"/>
      </w:divBdr>
      <w:divsChild>
        <w:div w:id="615602997">
          <w:marLeft w:val="0"/>
          <w:marRight w:val="0"/>
          <w:marTop w:val="0"/>
          <w:marBottom w:val="0"/>
          <w:divBdr>
            <w:top w:val="none" w:sz="0" w:space="0" w:color="auto"/>
            <w:left w:val="none" w:sz="0" w:space="0" w:color="auto"/>
            <w:bottom w:val="none" w:sz="0" w:space="0" w:color="auto"/>
            <w:right w:val="none" w:sz="0" w:space="0" w:color="auto"/>
          </w:divBdr>
        </w:div>
        <w:div w:id="395666300">
          <w:marLeft w:val="0"/>
          <w:marRight w:val="0"/>
          <w:marTop w:val="0"/>
          <w:marBottom w:val="0"/>
          <w:divBdr>
            <w:top w:val="none" w:sz="0" w:space="0" w:color="auto"/>
            <w:left w:val="none" w:sz="0" w:space="0" w:color="auto"/>
            <w:bottom w:val="none" w:sz="0" w:space="0" w:color="auto"/>
            <w:right w:val="none" w:sz="0" w:space="0" w:color="auto"/>
          </w:divBdr>
        </w:div>
        <w:div w:id="960263703">
          <w:marLeft w:val="0"/>
          <w:marRight w:val="0"/>
          <w:marTop w:val="0"/>
          <w:marBottom w:val="0"/>
          <w:divBdr>
            <w:top w:val="none" w:sz="0" w:space="0" w:color="auto"/>
            <w:left w:val="none" w:sz="0" w:space="0" w:color="auto"/>
            <w:bottom w:val="none" w:sz="0" w:space="0" w:color="auto"/>
            <w:right w:val="none" w:sz="0" w:space="0" w:color="auto"/>
          </w:divBdr>
        </w:div>
        <w:div w:id="221452971">
          <w:marLeft w:val="0"/>
          <w:marRight w:val="0"/>
          <w:marTop w:val="0"/>
          <w:marBottom w:val="0"/>
          <w:divBdr>
            <w:top w:val="none" w:sz="0" w:space="0" w:color="auto"/>
            <w:left w:val="none" w:sz="0" w:space="0" w:color="auto"/>
            <w:bottom w:val="none" w:sz="0" w:space="0" w:color="auto"/>
            <w:right w:val="none" w:sz="0" w:space="0" w:color="auto"/>
          </w:divBdr>
        </w:div>
        <w:div w:id="834538762">
          <w:marLeft w:val="0"/>
          <w:marRight w:val="0"/>
          <w:marTop w:val="0"/>
          <w:marBottom w:val="0"/>
          <w:divBdr>
            <w:top w:val="none" w:sz="0" w:space="0" w:color="auto"/>
            <w:left w:val="none" w:sz="0" w:space="0" w:color="auto"/>
            <w:bottom w:val="none" w:sz="0" w:space="0" w:color="auto"/>
            <w:right w:val="none" w:sz="0" w:space="0" w:color="auto"/>
          </w:divBdr>
        </w:div>
        <w:div w:id="982659380">
          <w:marLeft w:val="0"/>
          <w:marRight w:val="0"/>
          <w:marTop w:val="0"/>
          <w:marBottom w:val="0"/>
          <w:divBdr>
            <w:top w:val="none" w:sz="0" w:space="0" w:color="auto"/>
            <w:left w:val="none" w:sz="0" w:space="0" w:color="auto"/>
            <w:bottom w:val="none" w:sz="0" w:space="0" w:color="auto"/>
            <w:right w:val="none" w:sz="0" w:space="0" w:color="auto"/>
          </w:divBdr>
        </w:div>
        <w:div w:id="1068264834">
          <w:marLeft w:val="0"/>
          <w:marRight w:val="0"/>
          <w:marTop w:val="0"/>
          <w:marBottom w:val="0"/>
          <w:divBdr>
            <w:top w:val="none" w:sz="0" w:space="0" w:color="auto"/>
            <w:left w:val="none" w:sz="0" w:space="0" w:color="auto"/>
            <w:bottom w:val="none" w:sz="0" w:space="0" w:color="auto"/>
            <w:right w:val="none" w:sz="0" w:space="0" w:color="auto"/>
          </w:divBdr>
        </w:div>
        <w:div w:id="1034961086">
          <w:marLeft w:val="0"/>
          <w:marRight w:val="0"/>
          <w:marTop w:val="0"/>
          <w:marBottom w:val="0"/>
          <w:divBdr>
            <w:top w:val="none" w:sz="0" w:space="0" w:color="auto"/>
            <w:left w:val="none" w:sz="0" w:space="0" w:color="auto"/>
            <w:bottom w:val="none" w:sz="0" w:space="0" w:color="auto"/>
            <w:right w:val="none" w:sz="0" w:space="0" w:color="auto"/>
          </w:divBdr>
        </w:div>
        <w:div w:id="1730612317">
          <w:marLeft w:val="0"/>
          <w:marRight w:val="0"/>
          <w:marTop w:val="0"/>
          <w:marBottom w:val="0"/>
          <w:divBdr>
            <w:top w:val="none" w:sz="0" w:space="0" w:color="auto"/>
            <w:left w:val="none" w:sz="0" w:space="0" w:color="auto"/>
            <w:bottom w:val="none" w:sz="0" w:space="0" w:color="auto"/>
            <w:right w:val="none" w:sz="0" w:space="0" w:color="auto"/>
          </w:divBdr>
        </w:div>
        <w:div w:id="1507593965">
          <w:marLeft w:val="0"/>
          <w:marRight w:val="0"/>
          <w:marTop w:val="0"/>
          <w:marBottom w:val="0"/>
          <w:divBdr>
            <w:top w:val="none" w:sz="0" w:space="0" w:color="auto"/>
            <w:left w:val="none" w:sz="0" w:space="0" w:color="auto"/>
            <w:bottom w:val="none" w:sz="0" w:space="0" w:color="auto"/>
            <w:right w:val="none" w:sz="0" w:space="0" w:color="auto"/>
          </w:divBdr>
          <w:divsChild>
            <w:div w:id="1661343975">
              <w:marLeft w:val="0"/>
              <w:marRight w:val="0"/>
              <w:marTop w:val="0"/>
              <w:marBottom w:val="0"/>
              <w:divBdr>
                <w:top w:val="none" w:sz="0" w:space="0" w:color="auto"/>
                <w:left w:val="none" w:sz="0" w:space="0" w:color="auto"/>
                <w:bottom w:val="none" w:sz="0" w:space="0" w:color="auto"/>
                <w:right w:val="none" w:sz="0" w:space="0" w:color="auto"/>
              </w:divBdr>
            </w:div>
            <w:div w:id="1631010842">
              <w:marLeft w:val="0"/>
              <w:marRight w:val="0"/>
              <w:marTop w:val="0"/>
              <w:marBottom w:val="0"/>
              <w:divBdr>
                <w:top w:val="none" w:sz="0" w:space="0" w:color="auto"/>
                <w:left w:val="none" w:sz="0" w:space="0" w:color="auto"/>
                <w:bottom w:val="none" w:sz="0" w:space="0" w:color="auto"/>
                <w:right w:val="none" w:sz="0" w:space="0" w:color="auto"/>
              </w:divBdr>
            </w:div>
            <w:div w:id="1264918369">
              <w:marLeft w:val="0"/>
              <w:marRight w:val="0"/>
              <w:marTop w:val="0"/>
              <w:marBottom w:val="0"/>
              <w:divBdr>
                <w:top w:val="none" w:sz="0" w:space="0" w:color="auto"/>
                <w:left w:val="none" w:sz="0" w:space="0" w:color="auto"/>
                <w:bottom w:val="none" w:sz="0" w:space="0" w:color="auto"/>
                <w:right w:val="none" w:sz="0" w:space="0" w:color="auto"/>
              </w:divBdr>
            </w:div>
            <w:div w:id="1670206733">
              <w:marLeft w:val="0"/>
              <w:marRight w:val="0"/>
              <w:marTop w:val="0"/>
              <w:marBottom w:val="0"/>
              <w:divBdr>
                <w:top w:val="none" w:sz="0" w:space="0" w:color="auto"/>
                <w:left w:val="none" w:sz="0" w:space="0" w:color="auto"/>
                <w:bottom w:val="none" w:sz="0" w:space="0" w:color="auto"/>
                <w:right w:val="none" w:sz="0" w:space="0" w:color="auto"/>
              </w:divBdr>
            </w:div>
            <w:div w:id="1855682806">
              <w:marLeft w:val="0"/>
              <w:marRight w:val="0"/>
              <w:marTop w:val="0"/>
              <w:marBottom w:val="0"/>
              <w:divBdr>
                <w:top w:val="none" w:sz="0" w:space="0" w:color="auto"/>
                <w:left w:val="none" w:sz="0" w:space="0" w:color="auto"/>
                <w:bottom w:val="none" w:sz="0" w:space="0" w:color="auto"/>
                <w:right w:val="none" w:sz="0" w:space="0" w:color="auto"/>
              </w:divBdr>
            </w:div>
            <w:div w:id="69627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A52FB9-2251-406F-AEAB-611BE6770A1B}"/>
</file>

<file path=customXml/itemProps2.xml><?xml version="1.0" encoding="utf-8"?>
<ds:datastoreItem xmlns:ds="http://schemas.openxmlformats.org/officeDocument/2006/customXml" ds:itemID="{D9956B60-9D33-4FD1-80AC-2F421A7BFB5A}"/>
</file>

<file path=customXml/itemProps3.xml><?xml version="1.0" encoding="utf-8"?>
<ds:datastoreItem xmlns:ds="http://schemas.openxmlformats.org/officeDocument/2006/customXml" ds:itemID="{7878A0A3-DB37-420D-996F-3FA4950AE7C8}"/>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Mitzi Shilling</dc:creator>
  <cp:keywords/>
  <dc:description/>
  <cp:lastModifiedBy>Baczewski, Michael</cp:lastModifiedBy>
  <cp:revision>2</cp:revision>
  <dcterms:created xsi:type="dcterms:W3CDTF">2023-03-27T15:39:00Z</dcterms:created>
  <dcterms:modified xsi:type="dcterms:W3CDTF">2023-03-27T15:39:00Z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0x0101008CB3037D3D13D643AD60BCF186118C82</vt:lpwstr>
  </property>
</Properties>
</file>